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宋体" w:hAnsi="宋体" w:eastAsia="宋体"/>
          <w:b w:val="0"/>
          <w:bCs w:val="0"/>
          <w:sz w:val="28"/>
          <w:szCs w:val="28"/>
          <w:lang w:val="en-US" w:eastAsia="zh-CN"/>
        </w:rPr>
      </w:pPr>
      <w:bookmarkStart w:id="1" w:name="_GoBack"/>
      <w:bookmarkEnd w:id="1"/>
      <w:r>
        <w:rPr>
          <w:rFonts w:hint="eastAsia" w:ascii="宋体" w:hAnsi="宋体" w:eastAsia="宋体"/>
          <w:b w:val="0"/>
          <w:bCs w:val="0"/>
          <w:sz w:val="28"/>
          <w:szCs w:val="28"/>
          <w:lang w:val="en-US" w:eastAsia="zh-CN"/>
        </w:rPr>
        <w:t>附件2</w:t>
      </w:r>
    </w:p>
    <w:p>
      <w:pPr>
        <w:jc w:val="center"/>
        <w:rPr>
          <w:rFonts w:hint="eastAsia" w:ascii="宋体" w:hAnsi="宋体" w:eastAsia="宋体" w:cs="宋体"/>
          <w:b/>
          <w:bCs/>
          <w:sz w:val="32"/>
          <w:szCs w:val="32"/>
        </w:rPr>
      </w:pPr>
      <w:r>
        <w:rPr>
          <w:rFonts w:hint="eastAsia" w:ascii="宋体" w:hAnsi="宋体" w:eastAsia="宋体" w:cs="宋体"/>
          <w:b/>
          <w:bCs/>
          <w:sz w:val="32"/>
          <w:szCs w:val="32"/>
        </w:rPr>
        <w:t>长春工程学院</w:t>
      </w:r>
    </w:p>
    <w:p>
      <w:pPr>
        <w:jc w:val="center"/>
        <w:rPr>
          <w:rFonts w:hint="eastAsia" w:ascii="宋体" w:hAnsi="宋体" w:eastAsia="宋体" w:cs="宋体"/>
          <w:b/>
          <w:bCs/>
          <w:sz w:val="32"/>
          <w:szCs w:val="32"/>
        </w:rPr>
      </w:pPr>
      <w:bookmarkStart w:id="0" w:name="_Hlk14334109"/>
      <w:r>
        <w:rPr>
          <w:rFonts w:hint="eastAsia" w:ascii="宋体" w:hAnsi="宋体" w:eastAsia="宋体" w:cs="宋体"/>
          <w:b/>
          <w:bCs/>
          <w:sz w:val="32"/>
          <w:szCs w:val="32"/>
        </w:rPr>
        <w:t>审核评估整改工作总结报告任务分解与要求</w:t>
      </w:r>
      <w:bookmarkEnd w:id="0"/>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一、整改总结报告内容</w:t>
      </w:r>
    </w:p>
    <w:p>
      <w:pPr>
        <w:spacing w:line="57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主要包括：整改思路、主要措施、整改成效及特色、典型经验做法、未来规划。</w:t>
      </w:r>
    </w:p>
    <w:p>
      <w:pPr>
        <w:spacing w:line="570" w:lineRule="exact"/>
        <w:ind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二、任务分工</w:t>
      </w:r>
    </w:p>
    <w:tbl>
      <w:tblPr>
        <w:tblStyle w:val="7"/>
        <w:tblW w:w="8335" w:type="dxa"/>
        <w:jc w:val="center"/>
        <w:tblInd w:w="771" w:type="dxa"/>
        <w:tblLayout w:type="fixed"/>
        <w:tblCellMar>
          <w:top w:w="0" w:type="dxa"/>
          <w:left w:w="108" w:type="dxa"/>
          <w:bottom w:w="0" w:type="dxa"/>
          <w:right w:w="108" w:type="dxa"/>
        </w:tblCellMar>
      </w:tblPr>
      <w:tblGrid>
        <w:gridCol w:w="1674"/>
        <w:gridCol w:w="4750"/>
        <w:gridCol w:w="1911"/>
      </w:tblGrid>
      <w:tr>
        <w:tblPrEx>
          <w:tblLayout w:type="fixed"/>
          <w:tblCellMar>
            <w:top w:w="0" w:type="dxa"/>
            <w:left w:w="108" w:type="dxa"/>
            <w:bottom w:w="0" w:type="dxa"/>
            <w:right w:w="108" w:type="dxa"/>
          </w:tblCellMar>
        </w:tblPrEx>
        <w:trPr>
          <w:trHeight w:val="919" w:hRule="atLeast"/>
          <w:jc w:val="center"/>
        </w:trPr>
        <w:tc>
          <w:tcPr>
            <w:tcW w:w="16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项目名称</w:t>
            </w:r>
          </w:p>
        </w:tc>
        <w:tc>
          <w:tcPr>
            <w:tcW w:w="4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专家组建议改进内容</w:t>
            </w:r>
          </w:p>
        </w:tc>
        <w:tc>
          <w:tcPr>
            <w:tcW w:w="1911"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责任单位</w:t>
            </w:r>
          </w:p>
        </w:tc>
      </w:tr>
      <w:tr>
        <w:tblPrEx>
          <w:tblLayout w:type="fixed"/>
          <w:tblCellMar>
            <w:top w:w="0" w:type="dxa"/>
            <w:left w:w="108" w:type="dxa"/>
            <w:bottom w:w="0" w:type="dxa"/>
            <w:right w:w="108" w:type="dxa"/>
          </w:tblCellMar>
        </w:tblPrEx>
        <w:trPr>
          <w:trHeight w:val="919" w:hRule="atLeast"/>
          <w:jc w:val="center"/>
        </w:trPr>
        <w:tc>
          <w:tcPr>
            <w:tcW w:w="1674"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定位与目标</w:t>
            </w:r>
          </w:p>
        </w:tc>
        <w:tc>
          <w:tcPr>
            <w:tcW w:w="475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1.“应用型”办学定位与人才培养目标还需进一步强化、深化、细化</w:t>
            </w:r>
          </w:p>
        </w:tc>
        <w:tc>
          <w:tcPr>
            <w:tcW w:w="191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高教研究所</w:t>
            </w:r>
          </w:p>
          <w:p>
            <w:pPr>
              <w:widowControl/>
              <w:spacing w:line="30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教务处</w:t>
            </w:r>
          </w:p>
        </w:tc>
      </w:tr>
      <w:tr>
        <w:tblPrEx>
          <w:tblLayout w:type="fixed"/>
          <w:tblCellMar>
            <w:top w:w="0" w:type="dxa"/>
            <w:left w:w="108" w:type="dxa"/>
            <w:bottom w:w="0" w:type="dxa"/>
            <w:right w:w="108" w:type="dxa"/>
          </w:tblCellMar>
        </w:tblPrEx>
        <w:trPr>
          <w:trHeight w:val="919" w:hRule="atLeast"/>
          <w:jc w:val="center"/>
        </w:trPr>
        <w:tc>
          <w:tcPr>
            <w:tcW w:w="1674"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师资队伍</w:t>
            </w:r>
          </w:p>
        </w:tc>
        <w:tc>
          <w:tcPr>
            <w:tcW w:w="475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2.师资队伍建设亟待加强</w:t>
            </w:r>
          </w:p>
        </w:tc>
        <w:tc>
          <w:tcPr>
            <w:tcW w:w="191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人事处</w:t>
            </w:r>
          </w:p>
          <w:p>
            <w:pPr>
              <w:widowControl/>
              <w:spacing w:line="30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教师发展中心</w:t>
            </w:r>
          </w:p>
        </w:tc>
      </w:tr>
      <w:tr>
        <w:tblPrEx>
          <w:tblLayout w:type="fixed"/>
          <w:tblCellMar>
            <w:top w:w="0" w:type="dxa"/>
            <w:left w:w="108" w:type="dxa"/>
            <w:bottom w:w="0" w:type="dxa"/>
            <w:right w:w="108" w:type="dxa"/>
          </w:tblCellMar>
        </w:tblPrEx>
        <w:trPr>
          <w:trHeight w:val="919" w:hRule="atLeast"/>
          <w:jc w:val="center"/>
        </w:trPr>
        <w:tc>
          <w:tcPr>
            <w:tcW w:w="1674"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教学资源</w:t>
            </w:r>
          </w:p>
        </w:tc>
        <w:tc>
          <w:tcPr>
            <w:tcW w:w="475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3.办学条件与教学投入相对不足</w:t>
            </w:r>
          </w:p>
        </w:tc>
        <w:tc>
          <w:tcPr>
            <w:tcW w:w="191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后勤保障处</w:t>
            </w:r>
          </w:p>
          <w:p>
            <w:pPr>
              <w:widowControl/>
              <w:spacing w:line="30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财务处</w:t>
            </w:r>
          </w:p>
          <w:p>
            <w:pPr>
              <w:widowControl/>
              <w:spacing w:line="30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教务处</w:t>
            </w:r>
          </w:p>
        </w:tc>
      </w:tr>
      <w:tr>
        <w:tblPrEx>
          <w:tblLayout w:type="fixed"/>
          <w:tblCellMar>
            <w:top w:w="0" w:type="dxa"/>
            <w:left w:w="108" w:type="dxa"/>
            <w:bottom w:w="0" w:type="dxa"/>
            <w:right w:w="108" w:type="dxa"/>
          </w:tblCellMar>
        </w:tblPrEx>
        <w:trPr>
          <w:trHeight w:val="919" w:hRule="atLeast"/>
          <w:jc w:val="center"/>
        </w:trPr>
        <w:tc>
          <w:tcPr>
            <w:tcW w:w="1674"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培养过程</w:t>
            </w:r>
          </w:p>
        </w:tc>
        <w:tc>
          <w:tcPr>
            <w:tcW w:w="475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4.教学改革与研究深度不够</w:t>
            </w:r>
          </w:p>
        </w:tc>
        <w:tc>
          <w:tcPr>
            <w:tcW w:w="191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高教研究所</w:t>
            </w:r>
          </w:p>
          <w:p>
            <w:pPr>
              <w:widowControl/>
              <w:spacing w:line="30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教务处</w:t>
            </w:r>
          </w:p>
        </w:tc>
      </w:tr>
      <w:tr>
        <w:tblPrEx>
          <w:tblLayout w:type="fixed"/>
          <w:tblCellMar>
            <w:top w:w="0" w:type="dxa"/>
            <w:left w:w="108" w:type="dxa"/>
            <w:bottom w:w="0" w:type="dxa"/>
            <w:right w:w="108" w:type="dxa"/>
          </w:tblCellMar>
        </w:tblPrEx>
        <w:trPr>
          <w:trHeight w:val="919" w:hRule="atLeast"/>
          <w:jc w:val="center"/>
        </w:trPr>
        <w:tc>
          <w:tcPr>
            <w:tcW w:w="1674"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学生发展</w:t>
            </w:r>
          </w:p>
        </w:tc>
        <w:tc>
          <w:tcPr>
            <w:tcW w:w="475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5.学生自主学习能力和创新创业能力的培养需要进一步加强</w:t>
            </w:r>
          </w:p>
        </w:tc>
        <w:tc>
          <w:tcPr>
            <w:tcW w:w="191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招生就业处</w:t>
            </w:r>
          </w:p>
          <w:p>
            <w:pPr>
              <w:widowControl/>
              <w:spacing w:line="30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学生处</w:t>
            </w:r>
          </w:p>
          <w:p>
            <w:pPr>
              <w:widowControl/>
              <w:spacing w:line="30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教务处</w:t>
            </w:r>
          </w:p>
        </w:tc>
      </w:tr>
      <w:tr>
        <w:tblPrEx>
          <w:tblLayout w:type="fixed"/>
          <w:tblCellMar>
            <w:top w:w="0" w:type="dxa"/>
            <w:left w:w="108" w:type="dxa"/>
            <w:bottom w:w="0" w:type="dxa"/>
            <w:right w:w="108" w:type="dxa"/>
          </w:tblCellMar>
        </w:tblPrEx>
        <w:trPr>
          <w:trHeight w:val="919" w:hRule="atLeast"/>
          <w:jc w:val="center"/>
        </w:trPr>
        <w:tc>
          <w:tcPr>
            <w:tcW w:w="1674"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质量保障</w:t>
            </w:r>
          </w:p>
        </w:tc>
        <w:tc>
          <w:tcPr>
            <w:tcW w:w="475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6.教学质量保障体系有待进一步完善</w:t>
            </w:r>
          </w:p>
        </w:tc>
        <w:tc>
          <w:tcPr>
            <w:tcW w:w="191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教学质量监督与评估中心</w:t>
            </w:r>
          </w:p>
          <w:p>
            <w:pPr>
              <w:widowControl/>
              <w:spacing w:line="30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教务处</w:t>
            </w:r>
          </w:p>
        </w:tc>
      </w:tr>
    </w:tbl>
    <w:p>
      <w:pPr>
        <w:spacing w:line="570" w:lineRule="exact"/>
        <w:ind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三、有关要求</w:t>
      </w:r>
    </w:p>
    <w:p>
      <w:pPr>
        <w:spacing w:line="57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1.请各部门认真按照总结报告要求的内容进行撰写，重点针对审核评估专家组反馈的意见，以具体的工作措施，翔实的数据进行总结。</w:t>
      </w:r>
    </w:p>
    <w:p>
      <w:pPr>
        <w:spacing w:line="57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2.请各部门在撰写总结时要关注教育教学改革的未来规划与顶层设计，关注对“高教40条”“六卓越一拔尖”计划2.0要求、“吉林特色高水平本科教育建设行动计划”等落实情况，对未来一段时间的工作进行规划。</w:t>
      </w:r>
    </w:p>
    <w:p>
      <w:pPr>
        <w:spacing w:line="57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3.请各部门于8月20日前将审核评估整改工作总结报告电子版报送至教学质量监督与评估中心。</w:t>
      </w:r>
    </w:p>
    <w:p>
      <w:pPr>
        <w:spacing w:line="57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邮箱：</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"mailto:jxpgk@ccit.edu.cn，联系人：王丹" </w:instrText>
      </w:r>
      <w:r>
        <w:rPr>
          <w:rFonts w:hint="eastAsia" w:ascii="宋体" w:hAnsi="宋体" w:eastAsia="宋体" w:cs="宋体"/>
          <w:sz w:val="28"/>
          <w:szCs w:val="28"/>
        </w:rPr>
        <w:fldChar w:fldCharType="separate"/>
      </w:r>
      <w:r>
        <w:rPr>
          <w:rStyle w:val="9"/>
          <w:rFonts w:hint="eastAsia" w:ascii="宋体" w:hAnsi="宋体" w:eastAsia="宋体" w:cs="宋体"/>
          <w:sz w:val="28"/>
          <w:szCs w:val="28"/>
        </w:rPr>
        <w:t>jxpgk@ccit.edu.cn，联系人：王丹</w:t>
      </w:r>
      <w:r>
        <w:rPr>
          <w:rStyle w:val="9"/>
          <w:rFonts w:hint="eastAsia" w:ascii="宋体" w:hAnsi="宋体" w:eastAsia="宋体" w:cs="宋体"/>
          <w:sz w:val="28"/>
          <w:szCs w:val="28"/>
        </w:rPr>
        <w:fldChar w:fldCharType="end"/>
      </w:r>
      <w:r>
        <w:rPr>
          <w:rFonts w:hint="eastAsia" w:ascii="宋体" w:hAnsi="宋体" w:eastAsia="宋体" w:cs="宋体"/>
          <w:sz w:val="28"/>
          <w:szCs w:val="28"/>
        </w:rPr>
        <w:t xml:space="preserve"> </w:t>
      </w:r>
    </w:p>
    <w:p>
      <w:pPr>
        <w:spacing w:line="570" w:lineRule="exact"/>
        <w:ind w:firstLine="560" w:firstLineChars="200"/>
        <w:jc w:val="left"/>
        <w:rPr>
          <w:rFonts w:hint="eastAsia" w:ascii="宋体" w:hAnsi="宋体" w:eastAsia="宋体" w:cs="宋体"/>
          <w:sz w:val="28"/>
          <w:szCs w:val="28"/>
        </w:rPr>
      </w:pPr>
    </w:p>
    <w:p>
      <w:pPr>
        <w:jc w:val="right"/>
        <w:rPr>
          <w:rFonts w:hint="eastAsia" w:ascii="宋体" w:hAnsi="宋体" w:eastAsia="宋体" w:cs="宋体"/>
          <w:sz w:val="28"/>
          <w:szCs w:val="28"/>
        </w:rPr>
      </w:pPr>
      <w:r>
        <w:rPr>
          <w:rFonts w:hint="eastAsia" w:ascii="宋体" w:hAnsi="宋体" w:eastAsia="宋体" w:cs="宋体"/>
          <w:sz w:val="28"/>
          <w:szCs w:val="28"/>
        </w:rPr>
        <w:t>教学质量监督与评估中心</w:t>
      </w:r>
    </w:p>
    <w:p>
      <w:pPr>
        <w:jc w:val="right"/>
        <w:rPr>
          <w:rFonts w:hint="eastAsia" w:ascii="宋体" w:hAnsi="宋体" w:eastAsia="宋体" w:cs="宋体"/>
          <w:sz w:val="28"/>
          <w:szCs w:val="28"/>
        </w:rPr>
      </w:pPr>
      <w:r>
        <w:rPr>
          <w:rFonts w:hint="eastAsia" w:ascii="宋体" w:hAnsi="宋体" w:eastAsia="宋体" w:cs="宋体"/>
          <w:sz w:val="28"/>
          <w:szCs w:val="28"/>
        </w:rPr>
        <w:t>2019年7月18日</w:t>
      </w:r>
    </w:p>
    <w:p>
      <w:pPr>
        <w:spacing w:line="570" w:lineRule="exact"/>
        <w:ind w:firstLine="5040" w:firstLineChars="1800"/>
        <w:jc w:val="left"/>
        <w:rPr>
          <w:rFonts w:ascii="宋体" w:hAnsi="宋体" w:eastAsia="宋体"/>
          <w:sz w:val="28"/>
          <w:szCs w:val="28"/>
        </w:rPr>
      </w:pPr>
    </w:p>
    <w:p>
      <w:pPr>
        <w:spacing w:line="570" w:lineRule="exact"/>
        <w:ind w:firstLine="5040" w:firstLineChars="1800"/>
        <w:jc w:val="left"/>
        <w:rPr>
          <w:rFonts w:hint="eastAsia" w:ascii="宋体" w:hAnsi="宋体" w:eastAsia="宋体"/>
          <w:sz w:val="28"/>
          <w:szCs w:val="28"/>
        </w:rPr>
      </w:pPr>
    </w:p>
    <w:sectPr>
      <w:footerReference r:id="rId3" w:type="default"/>
      <w:footerReference r:id="rId4" w:type="even"/>
      <w:pgSz w:w="11906" w:h="16838"/>
      <w:pgMar w:top="1440" w:right="1800" w:bottom="1440" w:left="1800" w:header="851" w:footer="1588"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2607514"/>
    </w:sdtPr>
    <w:sdtEndPr>
      <w:rPr>
        <w:rFonts w:ascii="宋体" w:hAnsi="宋体" w:eastAsia="宋体"/>
        <w:sz w:val="28"/>
        <w:szCs w:val="28"/>
      </w:rPr>
    </w:sdtEndPr>
    <w:sdtContent>
      <w:p>
        <w:pPr>
          <w:pStyle w:val="5"/>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4490675"/>
    </w:sdtPr>
    <w:sdtEndPr>
      <w:rPr>
        <w:rFonts w:ascii="宋体" w:hAnsi="宋体" w:eastAsia="宋体"/>
        <w:sz w:val="28"/>
        <w:szCs w:val="28"/>
      </w:rPr>
    </w:sdtEndPr>
    <w:sdtContent>
      <w:p>
        <w:pPr>
          <w:pStyle w:val="5"/>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96"/>
    <w:rsid w:val="000377DB"/>
    <w:rsid w:val="00043DAC"/>
    <w:rsid w:val="00081BC6"/>
    <w:rsid w:val="000B5091"/>
    <w:rsid w:val="000E0F1E"/>
    <w:rsid w:val="0011370C"/>
    <w:rsid w:val="001518D8"/>
    <w:rsid w:val="001802F7"/>
    <w:rsid w:val="0018400D"/>
    <w:rsid w:val="001F3E0E"/>
    <w:rsid w:val="002270D0"/>
    <w:rsid w:val="00235777"/>
    <w:rsid w:val="002B7C67"/>
    <w:rsid w:val="002C2136"/>
    <w:rsid w:val="003174A3"/>
    <w:rsid w:val="003C094A"/>
    <w:rsid w:val="003C4874"/>
    <w:rsid w:val="003C7BE3"/>
    <w:rsid w:val="003F31BF"/>
    <w:rsid w:val="00444B3E"/>
    <w:rsid w:val="00457CF3"/>
    <w:rsid w:val="0049380C"/>
    <w:rsid w:val="00495B20"/>
    <w:rsid w:val="004A482B"/>
    <w:rsid w:val="004C3FE3"/>
    <w:rsid w:val="004D4C96"/>
    <w:rsid w:val="0053050D"/>
    <w:rsid w:val="0055412E"/>
    <w:rsid w:val="005772F1"/>
    <w:rsid w:val="00604D32"/>
    <w:rsid w:val="00652052"/>
    <w:rsid w:val="006C5887"/>
    <w:rsid w:val="006D111E"/>
    <w:rsid w:val="006D324F"/>
    <w:rsid w:val="00710A3B"/>
    <w:rsid w:val="00785774"/>
    <w:rsid w:val="007B7182"/>
    <w:rsid w:val="007E7B00"/>
    <w:rsid w:val="0080055E"/>
    <w:rsid w:val="00811EE0"/>
    <w:rsid w:val="00852AA6"/>
    <w:rsid w:val="008C6345"/>
    <w:rsid w:val="00913ABE"/>
    <w:rsid w:val="0094247D"/>
    <w:rsid w:val="0096741D"/>
    <w:rsid w:val="009E0641"/>
    <w:rsid w:val="00A06FEE"/>
    <w:rsid w:val="00A15582"/>
    <w:rsid w:val="00A43EE5"/>
    <w:rsid w:val="00A463C1"/>
    <w:rsid w:val="00A568C4"/>
    <w:rsid w:val="00A80190"/>
    <w:rsid w:val="00A92196"/>
    <w:rsid w:val="00A928CC"/>
    <w:rsid w:val="00AA331A"/>
    <w:rsid w:val="00AA4B16"/>
    <w:rsid w:val="00AE08B5"/>
    <w:rsid w:val="00B63ABE"/>
    <w:rsid w:val="00B728C4"/>
    <w:rsid w:val="00B81FB1"/>
    <w:rsid w:val="00B83770"/>
    <w:rsid w:val="00BA010B"/>
    <w:rsid w:val="00C24685"/>
    <w:rsid w:val="00C945CD"/>
    <w:rsid w:val="00CA273C"/>
    <w:rsid w:val="00CA553C"/>
    <w:rsid w:val="00CF251E"/>
    <w:rsid w:val="00CF5359"/>
    <w:rsid w:val="00D25DAF"/>
    <w:rsid w:val="00D27941"/>
    <w:rsid w:val="00D47B2D"/>
    <w:rsid w:val="00D501BA"/>
    <w:rsid w:val="00D609C9"/>
    <w:rsid w:val="00DE763E"/>
    <w:rsid w:val="00E03979"/>
    <w:rsid w:val="00E10A03"/>
    <w:rsid w:val="00E44EA3"/>
    <w:rsid w:val="00E60985"/>
    <w:rsid w:val="00EA2298"/>
    <w:rsid w:val="00ED3B42"/>
    <w:rsid w:val="00F15FD6"/>
    <w:rsid w:val="00F772F2"/>
    <w:rsid w:val="00F85863"/>
    <w:rsid w:val="00FF15A3"/>
    <w:rsid w:val="02042C58"/>
    <w:rsid w:val="0928738C"/>
    <w:rsid w:val="0DD80348"/>
    <w:rsid w:val="0EE36952"/>
    <w:rsid w:val="0FBC417F"/>
    <w:rsid w:val="14CE2BC2"/>
    <w:rsid w:val="14DD6D99"/>
    <w:rsid w:val="14FF38DD"/>
    <w:rsid w:val="1574357E"/>
    <w:rsid w:val="16361BD9"/>
    <w:rsid w:val="1AB677CC"/>
    <w:rsid w:val="20265FA6"/>
    <w:rsid w:val="21BE3DFF"/>
    <w:rsid w:val="22E1175A"/>
    <w:rsid w:val="23AF03ED"/>
    <w:rsid w:val="28173570"/>
    <w:rsid w:val="28FF2C07"/>
    <w:rsid w:val="2F5B78A7"/>
    <w:rsid w:val="37D958AB"/>
    <w:rsid w:val="39480973"/>
    <w:rsid w:val="39A37D69"/>
    <w:rsid w:val="3D043B97"/>
    <w:rsid w:val="3EB66BDD"/>
    <w:rsid w:val="3F034230"/>
    <w:rsid w:val="40033BE8"/>
    <w:rsid w:val="40AF546F"/>
    <w:rsid w:val="40EA0AF2"/>
    <w:rsid w:val="4186057D"/>
    <w:rsid w:val="429771C5"/>
    <w:rsid w:val="44475277"/>
    <w:rsid w:val="446A71A9"/>
    <w:rsid w:val="4D933FB4"/>
    <w:rsid w:val="4DD013A5"/>
    <w:rsid w:val="4E6C5563"/>
    <w:rsid w:val="4FF63935"/>
    <w:rsid w:val="516E2E29"/>
    <w:rsid w:val="523D5A77"/>
    <w:rsid w:val="548B5A1E"/>
    <w:rsid w:val="551A4ECB"/>
    <w:rsid w:val="5662333B"/>
    <w:rsid w:val="585F67A0"/>
    <w:rsid w:val="59A85C21"/>
    <w:rsid w:val="5CE94356"/>
    <w:rsid w:val="5D8149C4"/>
    <w:rsid w:val="5DF50321"/>
    <w:rsid w:val="600F2AEC"/>
    <w:rsid w:val="60FA1435"/>
    <w:rsid w:val="624B1DDD"/>
    <w:rsid w:val="626A171E"/>
    <w:rsid w:val="63645717"/>
    <w:rsid w:val="63716413"/>
    <w:rsid w:val="697D0AF6"/>
    <w:rsid w:val="6B1C07B6"/>
    <w:rsid w:val="6B535702"/>
    <w:rsid w:val="6F9F76EB"/>
    <w:rsid w:val="72283987"/>
    <w:rsid w:val="73672F21"/>
    <w:rsid w:val="73B20D3D"/>
    <w:rsid w:val="757B4918"/>
    <w:rsid w:val="77783C11"/>
    <w:rsid w:val="78162085"/>
    <w:rsid w:val="7EFB5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keepNext/>
      <w:keepLines/>
      <w:spacing w:before="260" w:after="260" w:line="416" w:lineRule="auto"/>
      <w:outlineLvl w:val="2"/>
    </w:pPr>
    <w:rPr>
      <w:rFonts w:ascii="Times New Roman" w:hAnsi="Times New Roman"/>
      <w:b/>
      <w:bCs/>
      <w:sz w:val="32"/>
      <w:szCs w:val="32"/>
    </w:rPr>
  </w:style>
  <w:style w:type="character" w:default="1" w:styleId="8">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Date"/>
    <w:basedOn w:val="1"/>
    <w:next w:val="1"/>
    <w:link w:val="13"/>
    <w:semiHidden/>
    <w:unhideWhenUsed/>
    <w:uiPriority w:val="99"/>
    <w:pPr>
      <w:ind w:left="100" w:leftChars="2500"/>
    </w:pPr>
  </w:style>
  <w:style w:type="paragraph" w:styleId="4">
    <w:name w:val="Balloon Text"/>
    <w:basedOn w:val="1"/>
    <w:link w:val="10"/>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uiPriority w:val="99"/>
    <w:rPr>
      <w:color w:val="0000FF"/>
      <w:u w:val="single"/>
    </w:rPr>
  </w:style>
  <w:style w:type="character" w:customStyle="1" w:styleId="10">
    <w:name w:val="批注框文本 字符"/>
    <w:basedOn w:val="8"/>
    <w:link w:val="4"/>
    <w:semiHidden/>
    <w:qFormat/>
    <w:uiPriority w:val="99"/>
    <w:rPr>
      <w:sz w:val="18"/>
      <w:szCs w:val="18"/>
    </w:rPr>
  </w:style>
  <w:style w:type="character" w:customStyle="1" w:styleId="11">
    <w:name w:val="页眉 字符"/>
    <w:basedOn w:val="8"/>
    <w:link w:val="6"/>
    <w:qFormat/>
    <w:uiPriority w:val="99"/>
    <w:rPr>
      <w:sz w:val="18"/>
      <w:szCs w:val="18"/>
    </w:rPr>
  </w:style>
  <w:style w:type="character" w:customStyle="1" w:styleId="12">
    <w:name w:val="页脚 字符"/>
    <w:basedOn w:val="8"/>
    <w:link w:val="5"/>
    <w:qFormat/>
    <w:uiPriority w:val="99"/>
    <w:rPr>
      <w:sz w:val="18"/>
      <w:szCs w:val="18"/>
    </w:rPr>
  </w:style>
  <w:style w:type="character" w:customStyle="1" w:styleId="13">
    <w:name w:val="日期 字符"/>
    <w:basedOn w:val="8"/>
    <w:link w:val="3"/>
    <w:semiHidden/>
    <w:qFormat/>
    <w:uiPriority w:val="99"/>
    <w:rPr>
      <w:rFonts w:asciiTheme="minorHAnsi" w:hAnsiTheme="minorHAnsi" w:eastAsiaTheme="minorEastAsia" w:cstheme="minorBidi"/>
      <w:kern w:val="2"/>
      <w:sz w:val="21"/>
      <w:szCs w:val="22"/>
    </w:rPr>
  </w:style>
  <w:style w:type="paragraph" w:styleId="14">
    <w:name w:val="List Paragraph"/>
    <w:basedOn w:val="1"/>
    <w:qFormat/>
    <w:uiPriority w:val="99"/>
    <w:pPr>
      <w:ind w:firstLine="420" w:firstLineChars="200"/>
    </w:pPr>
  </w:style>
  <w:style w:type="character" w:customStyle="1" w:styleId="15">
    <w:name w:val="Unresolved Mention"/>
    <w:basedOn w:val="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97</Words>
  <Characters>555</Characters>
  <Lines>4</Lines>
  <Paragraphs>1</Paragraphs>
  <TotalTime>40</TotalTime>
  <ScaleCrop>false</ScaleCrop>
  <LinksUpToDate>false</LinksUpToDate>
  <CharactersWithSpaces>651</CharactersWithSpaces>
  <Application>WPS Office_11.1.0.8584_F1E327BC-269C-435d-A152-05C5408002CA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2018-09-25T00:48:00Z</dcterms:created>
  <dc:creator>lenovo</dc:creator>
  <cp:lastModifiedBy>Wang丹</cp:lastModifiedBy>
  <cp:lastPrinted>2018-12-11T01:24:00Z</cp:lastPrinted>
  <dcterms:modified xsi:type="dcterms:W3CDTF">2019-07-18T01:40:10Z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